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楷体_GB2312" w:hAnsi="楷体_GB2312" w:eastAsia="楷体_GB2312"/>
          <w:b/>
          <w:sz w:val="44"/>
        </w:rPr>
      </w:pPr>
      <w:r>
        <w:rPr>
          <w:rFonts w:hint="eastAsia" w:ascii="黑体" w:hAnsi="黑体" w:eastAsia="黑体" w:cs="黑体"/>
          <w:b/>
          <w:sz w:val="36"/>
          <w:szCs w:val="36"/>
        </w:rPr>
        <w:t>附加校方无过失责任保险方案</w:t>
      </w:r>
      <w:bookmarkStart w:id="0" w:name="_GoBack"/>
      <w:bookmarkEnd w:id="0"/>
    </w:p>
    <w:tbl>
      <w:tblPr>
        <w:tblStyle w:val="2"/>
        <w:tblpPr w:leftFromText="180" w:rightFromText="180" w:vertAnchor="text" w:horzAnchor="page" w:tblpX="1222" w:tblpY="230"/>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77"/>
        <w:gridCol w:w="1290"/>
        <w:gridCol w:w="1755"/>
        <w:gridCol w:w="147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548" w:type="dxa"/>
            <w:shd w:val="clear" w:color="auto" w:fill="C0C0C0"/>
            <w:vAlign w:val="center"/>
          </w:tcPr>
          <w:p>
            <w:pPr>
              <w:spacing w:line="360" w:lineRule="exact"/>
              <w:jc w:val="center"/>
              <w:rPr>
                <w:rFonts w:hint="eastAsia" w:ascii="黑体" w:hAnsi="黑体" w:eastAsia="黑体" w:cs="黑体"/>
                <w:bCs/>
                <w:sz w:val="28"/>
              </w:rPr>
            </w:pPr>
            <w:r>
              <w:rPr>
                <w:rFonts w:hint="eastAsia" w:ascii="黑体" w:hAnsi="黑体" w:eastAsia="黑体" w:cs="黑体"/>
                <w:bCs/>
                <w:sz w:val="28"/>
              </w:rPr>
              <w:t>学校类型</w:t>
            </w:r>
          </w:p>
        </w:tc>
        <w:tc>
          <w:tcPr>
            <w:tcW w:w="1477" w:type="dxa"/>
            <w:shd w:val="clear" w:color="auto" w:fill="C0C0C0"/>
            <w:vAlign w:val="center"/>
          </w:tcPr>
          <w:p>
            <w:pPr>
              <w:spacing w:line="360" w:lineRule="exact"/>
              <w:jc w:val="center"/>
              <w:rPr>
                <w:rFonts w:hint="eastAsia" w:ascii="黑体" w:hAnsi="黑体" w:eastAsia="黑体" w:cs="黑体"/>
                <w:bCs/>
                <w:sz w:val="28"/>
              </w:rPr>
            </w:pPr>
            <w:r>
              <w:rPr>
                <w:rFonts w:hint="eastAsia" w:ascii="黑体" w:hAnsi="黑体" w:eastAsia="黑体" w:cs="黑体"/>
                <w:bCs/>
                <w:sz w:val="28"/>
              </w:rPr>
              <w:t>年度基准保险费</w:t>
            </w:r>
          </w:p>
          <w:p>
            <w:pPr>
              <w:spacing w:line="360" w:lineRule="exact"/>
              <w:jc w:val="center"/>
              <w:rPr>
                <w:rFonts w:hint="eastAsia" w:ascii="黑体" w:hAnsi="黑体" w:eastAsia="黑体" w:cs="黑体"/>
                <w:bCs/>
                <w:sz w:val="28"/>
              </w:rPr>
            </w:pPr>
            <w:r>
              <w:rPr>
                <w:rFonts w:hint="eastAsia" w:ascii="黑体" w:hAnsi="黑体" w:eastAsia="黑体" w:cs="黑体"/>
                <w:bCs/>
                <w:sz w:val="28"/>
              </w:rPr>
              <w:t>（元/人）</w:t>
            </w:r>
          </w:p>
        </w:tc>
        <w:tc>
          <w:tcPr>
            <w:tcW w:w="1290" w:type="dxa"/>
            <w:shd w:val="clear" w:color="auto" w:fill="C0C0C0"/>
            <w:vAlign w:val="center"/>
          </w:tcPr>
          <w:p>
            <w:pPr>
              <w:spacing w:line="360" w:lineRule="exact"/>
              <w:jc w:val="center"/>
              <w:rPr>
                <w:rFonts w:hint="eastAsia" w:ascii="黑体" w:hAnsi="黑体" w:eastAsia="黑体" w:cs="黑体"/>
                <w:bCs/>
                <w:sz w:val="28"/>
              </w:rPr>
            </w:pPr>
            <w:r>
              <w:rPr>
                <w:rFonts w:hint="eastAsia" w:ascii="黑体" w:hAnsi="黑体" w:eastAsia="黑体" w:cs="黑体"/>
                <w:bCs/>
                <w:sz w:val="28"/>
              </w:rPr>
              <w:t>每人责任限额(万元)</w:t>
            </w:r>
          </w:p>
        </w:tc>
        <w:tc>
          <w:tcPr>
            <w:tcW w:w="1755" w:type="dxa"/>
            <w:shd w:val="clear" w:color="auto" w:fill="C0C0C0"/>
            <w:vAlign w:val="center"/>
          </w:tcPr>
          <w:p>
            <w:pPr>
              <w:spacing w:line="360" w:lineRule="exact"/>
              <w:jc w:val="center"/>
              <w:rPr>
                <w:rFonts w:hint="eastAsia" w:ascii="黑体" w:hAnsi="黑体" w:eastAsia="黑体" w:cs="黑体"/>
                <w:bCs/>
                <w:sz w:val="28"/>
              </w:rPr>
            </w:pPr>
            <w:r>
              <w:rPr>
                <w:rFonts w:hint="eastAsia" w:ascii="黑体" w:hAnsi="黑体" w:eastAsia="黑体" w:cs="黑体"/>
                <w:bCs/>
                <w:sz w:val="28"/>
              </w:rPr>
              <w:t>其中每人每次事故医疗费责任限额</w:t>
            </w:r>
          </w:p>
          <w:p>
            <w:pPr>
              <w:spacing w:line="360" w:lineRule="exact"/>
              <w:jc w:val="center"/>
              <w:rPr>
                <w:rFonts w:hint="eastAsia" w:ascii="黑体" w:hAnsi="黑体" w:eastAsia="黑体" w:cs="黑体"/>
                <w:bCs/>
                <w:sz w:val="28"/>
              </w:rPr>
            </w:pPr>
            <w:r>
              <w:rPr>
                <w:rFonts w:hint="eastAsia" w:ascii="黑体" w:hAnsi="黑体" w:eastAsia="黑体" w:cs="黑体"/>
                <w:bCs/>
                <w:sz w:val="28"/>
              </w:rPr>
              <w:t>(万元)</w:t>
            </w:r>
          </w:p>
        </w:tc>
        <w:tc>
          <w:tcPr>
            <w:tcW w:w="1470" w:type="dxa"/>
            <w:shd w:val="clear" w:color="auto" w:fill="C0C0C0"/>
            <w:vAlign w:val="center"/>
          </w:tcPr>
          <w:p>
            <w:pPr>
              <w:spacing w:line="360" w:lineRule="exact"/>
              <w:jc w:val="center"/>
              <w:rPr>
                <w:rFonts w:hint="eastAsia" w:ascii="黑体" w:hAnsi="黑体" w:eastAsia="黑体" w:cs="黑体"/>
                <w:bCs/>
                <w:sz w:val="28"/>
              </w:rPr>
            </w:pPr>
            <w:r>
              <w:rPr>
                <w:rFonts w:hint="eastAsia" w:ascii="黑体" w:hAnsi="黑体" w:eastAsia="黑体" w:cs="黑体"/>
                <w:bCs/>
                <w:sz w:val="28"/>
              </w:rPr>
              <w:t>每次事故责任限额(万元)</w:t>
            </w:r>
          </w:p>
        </w:tc>
        <w:tc>
          <w:tcPr>
            <w:tcW w:w="1755" w:type="dxa"/>
            <w:shd w:val="clear" w:color="auto" w:fill="C0C0C0"/>
            <w:vAlign w:val="center"/>
          </w:tcPr>
          <w:p>
            <w:pPr>
              <w:spacing w:line="360" w:lineRule="exact"/>
              <w:jc w:val="center"/>
              <w:rPr>
                <w:rFonts w:hint="eastAsia" w:ascii="黑体" w:hAnsi="黑体" w:eastAsia="黑体" w:cs="黑体"/>
                <w:bCs/>
                <w:sz w:val="28"/>
              </w:rPr>
            </w:pPr>
            <w:r>
              <w:rPr>
                <w:rFonts w:hint="eastAsia" w:ascii="黑体" w:hAnsi="黑体" w:eastAsia="黑体" w:cs="黑体"/>
                <w:bCs/>
                <w:sz w:val="28"/>
              </w:rPr>
              <w:t>累计责任限额</w:t>
            </w:r>
          </w:p>
          <w:p>
            <w:pPr>
              <w:spacing w:line="360" w:lineRule="exact"/>
              <w:jc w:val="center"/>
              <w:rPr>
                <w:rFonts w:hint="eastAsia" w:ascii="黑体" w:hAnsi="黑体" w:eastAsia="黑体" w:cs="黑体"/>
                <w:bCs/>
                <w:sz w:val="28"/>
              </w:rPr>
            </w:pPr>
            <w:r>
              <w:rPr>
                <w:rFonts w:hint="eastAsia" w:ascii="黑体" w:hAnsi="黑体" w:eastAsia="黑体" w:cs="黑体"/>
                <w:bCs/>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48" w:type="dxa"/>
            <w:vAlign w:val="top"/>
          </w:tcPr>
          <w:p>
            <w:pPr>
              <w:spacing w:line="360" w:lineRule="exact"/>
              <w:jc w:val="center"/>
              <w:rPr>
                <w:rFonts w:eastAsia="仿宋_GB2312"/>
                <w:sz w:val="28"/>
              </w:rPr>
            </w:pPr>
            <w:r>
              <w:rPr>
                <w:rFonts w:eastAsia="仿宋_GB2312"/>
                <w:sz w:val="28"/>
              </w:rPr>
              <w:t>已参加全省校责险统保的学校、幼儿园</w:t>
            </w:r>
          </w:p>
        </w:tc>
        <w:tc>
          <w:tcPr>
            <w:tcW w:w="1477" w:type="dxa"/>
            <w:vAlign w:val="center"/>
          </w:tcPr>
          <w:p>
            <w:pPr>
              <w:spacing w:line="360" w:lineRule="exact"/>
              <w:jc w:val="center"/>
              <w:rPr>
                <w:rFonts w:eastAsia="仿宋_GB2312"/>
                <w:sz w:val="28"/>
              </w:rPr>
            </w:pPr>
            <w:r>
              <w:rPr>
                <w:rFonts w:eastAsia="仿宋_GB2312"/>
                <w:sz w:val="28"/>
              </w:rPr>
              <w:t>3</w:t>
            </w:r>
          </w:p>
        </w:tc>
        <w:tc>
          <w:tcPr>
            <w:tcW w:w="1290" w:type="dxa"/>
            <w:vAlign w:val="center"/>
          </w:tcPr>
          <w:p>
            <w:pPr>
              <w:spacing w:line="360" w:lineRule="exact"/>
              <w:jc w:val="center"/>
              <w:rPr>
                <w:rFonts w:eastAsia="仿宋_GB2312"/>
                <w:sz w:val="28"/>
              </w:rPr>
            </w:pPr>
            <w:r>
              <w:rPr>
                <w:rFonts w:eastAsia="仿宋_GB2312"/>
                <w:sz w:val="28"/>
              </w:rPr>
              <w:t>15</w:t>
            </w:r>
          </w:p>
        </w:tc>
        <w:tc>
          <w:tcPr>
            <w:tcW w:w="1755" w:type="dxa"/>
            <w:vAlign w:val="center"/>
          </w:tcPr>
          <w:p>
            <w:pPr>
              <w:spacing w:line="360" w:lineRule="exact"/>
              <w:jc w:val="center"/>
              <w:rPr>
                <w:rFonts w:eastAsia="仿宋_GB2312"/>
                <w:sz w:val="28"/>
              </w:rPr>
            </w:pPr>
            <w:r>
              <w:rPr>
                <w:rFonts w:eastAsia="仿宋_GB2312"/>
                <w:sz w:val="28"/>
              </w:rPr>
              <w:t>2</w:t>
            </w:r>
          </w:p>
        </w:tc>
        <w:tc>
          <w:tcPr>
            <w:tcW w:w="1470" w:type="dxa"/>
            <w:vAlign w:val="center"/>
          </w:tcPr>
          <w:p>
            <w:pPr>
              <w:spacing w:line="360" w:lineRule="exact"/>
              <w:jc w:val="center"/>
              <w:rPr>
                <w:rFonts w:eastAsia="仿宋_GB2312"/>
                <w:sz w:val="28"/>
              </w:rPr>
            </w:pPr>
            <w:r>
              <w:rPr>
                <w:rFonts w:eastAsia="仿宋_GB2312"/>
                <w:sz w:val="28"/>
              </w:rPr>
              <w:t>100</w:t>
            </w:r>
          </w:p>
        </w:tc>
        <w:tc>
          <w:tcPr>
            <w:tcW w:w="1755" w:type="dxa"/>
            <w:vAlign w:val="center"/>
          </w:tcPr>
          <w:p>
            <w:pPr>
              <w:spacing w:line="360" w:lineRule="exact"/>
              <w:jc w:val="center"/>
              <w:rPr>
                <w:rFonts w:eastAsia="仿宋_GB2312"/>
                <w:sz w:val="28"/>
              </w:rPr>
            </w:pPr>
            <w:r>
              <w:rPr>
                <w:rFonts w:eastAsia="仿宋_GB2312"/>
                <w:sz w:val="28"/>
              </w:rPr>
              <w:t>200</w:t>
            </w:r>
          </w:p>
        </w:tc>
      </w:tr>
    </w:tbl>
    <w:p>
      <w:pPr>
        <w:autoSpaceDE w:val="0"/>
        <w:autoSpaceDN w:val="0"/>
        <w:adjustRightInd w:val="0"/>
        <w:spacing w:line="300" w:lineRule="exact"/>
        <w:rPr>
          <w:rFonts w:eastAsia="仿宋_GB2312"/>
          <w:color w:val="000000"/>
          <w:kern w:val="0"/>
          <w:sz w:val="28"/>
          <w:szCs w:val="21"/>
          <w:lang w:val="zh-CN"/>
        </w:rPr>
      </w:pPr>
      <w:r>
        <w:rPr>
          <w:rFonts w:hint="eastAsia" w:ascii="仿宋_GB2312" w:hAnsi="仿宋_GB2312" w:eastAsia="仿宋_GB2312" w:cs="仿宋_GB2312"/>
          <w:b/>
          <w:bCs/>
          <w:color w:val="000000"/>
          <w:kern w:val="0"/>
          <w:sz w:val="28"/>
          <w:szCs w:val="21"/>
        </w:rPr>
        <w:t xml:space="preserve">   </w:t>
      </w:r>
      <w:r>
        <w:rPr>
          <w:rFonts w:eastAsia="仿宋_GB2312"/>
          <w:b/>
          <w:bCs/>
          <w:color w:val="000000"/>
          <w:kern w:val="0"/>
          <w:sz w:val="28"/>
          <w:szCs w:val="21"/>
        </w:rPr>
        <w:t xml:space="preserve"> </w:t>
      </w:r>
      <w:r>
        <w:rPr>
          <w:rFonts w:eastAsia="仿宋_GB2312"/>
          <w:b/>
          <w:bCs/>
          <w:color w:val="000000"/>
          <w:kern w:val="0"/>
          <w:sz w:val="28"/>
          <w:szCs w:val="21"/>
          <w:lang w:val="zh-CN"/>
        </w:rPr>
        <w:t>保险责任：</w:t>
      </w:r>
      <w:r>
        <w:rPr>
          <w:rFonts w:eastAsia="仿宋_GB2312"/>
          <w:color w:val="000000"/>
          <w:kern w:val="0"/>
          <w:sz w:val="28"/>
          <w:szCs w:val="21"/>
          <w:lang w:val="zh-CN"/>
        </w:rPr>
        <w:t>经保险合同双方特别约定，鉴于投保人向保险人支付了相应的附加保险费，在本保险单列明的保险期间内，在被保险人校（园）内或由其统一组织的校（园）外活动中（限中华人民共和国境内，港澳台地区除外），因下列原因导致被保险人的在校学生人身伤亡，被保险人虽已履行相应职责，行为并无不当，但是根据</w:t>
      </w:r>
      <w:r>
        <w:rPr>
          <w:rFonts w:eastAsia="仿宋_GB2312"/>
          <w:kern w:val="0"/>
          <w:sz w:val="28"/>
          <w:szCs w:val="21"/>
          <w:lang w:val="zh-CN"/>
        </w:rPr>
        <w:t>法院的判决书、仲裁裁决书、县级以上政府及县级以上政府有关部门的行政决定书或者调解证明等材料，</w:t>
      </w:r>
      <w:r>
        <w:rPr>
          <w:rFonts w:eastAsia="仿宋_GB2312"/>
          <w:color w:val="000000"/>
          <w:kern w:val="0"/>
          <w:sz w:val="28"/>
          <w:szCs w:val="21"/>
          <w:lang w:val="zh-CN"/>
        </w:rPr>
        <w:t>仍需对受伤害学生承担经济补偿责任时，保险人根据本附加保险合同的约定负责赔偿：</w:t>
      </w:r>
    </w:p>
    <w:p>
      <w:pPr>
        <w:autoSpaceDE w:val="0"/>
        <w:autoSpaceDN w:val="0"/>
        <w:adjustRightInd w:val="0"/>
        <w:spacing w:line="300" w:lineRule="exact"/>
        <w:ind w:firstLine="588"/>
        <w:rPr>
          <w:rFonts w:eastAsia="仿宋_GB2312"/>
          <w:color w:val="000000"/>
          <w:kern w:val="0"/>
          <w:sz w:val="28"/>
          <w:szCs w:val="21"/>
          <w:lang w:val="zh-CN"/>
        </w:rPr>
      </w:pPr>
      <w:r>
        <w:rPr>
          <w:rFonts w:eastAsia="仿宋_GB2312"/>
          <w:color w:val="000000"/>
          <w:kern w:val="0"/>
          <w:sz w:val="28"/>
          <w:szCs w:val="21"/>
          <w:lang w:val="zh-CN"/>
        </w:rPr>
        <w:t>1、自然灾害。自然灾害是指气象部门发布的暴风、暴雨、崖崩、雷击、洪水、龙卷风、飑线、台风（热带风暴）、海啸、泥石流、突发性滑坡、冰雹灾害；</w:t>
      </w:r>
    </w:p>
    <w:p>
      <w:pPr>
        <w:autoSpaceDE w:val="0"/>
        <w:autoSpaceDN w:val="0"/>
        <w:adjustRightInd w:val="0"/>
        <w:spacing w:line="300" w:lineRule="exact"/>
        <w:ind w:firstLine="588"/>
        <w:rPr>
          <w:rFonts w:eastAsia="仿宋_GB2312"/>
          <w:color w:val="000000"/>
          <w:kern w:val="0"/>
          <w:sz w:val="28"/>
          <w:szCs w:val="21"/>
          <w:lang w:val="zh-CN"/>
        </w:rPr>
      </w:pPr>
      <w:r>
        <w:rPr>
          <w:rFonts w:eastAsia="仿宋_GB2312"/>
          <w:color w:val="000000"/>
          <w:kern w:val="0"/>
          <w:sz w:val="28"/>
          <w:szCs w:val="21"/>
          <w:lang w:val="zh-CN"/>
        </w:rPr>
        <w:t>2、学生有特异体质、特定疾病导致猝死或人身伤害；</w:t>
      </w:r>
    </w:p>
    <w:p>
      <w:pPr>
        <w:autoSpaceDE w:val="0"/>
        <w:autoSpaceDN w:val="0"/>
        <w:adjustRightInd w:val="0"/>
        <w:spacing w:line="300" w:lineRule="exact"/>
        <w:ind w:firstLine="588"/>
        <w:rPr>
          <w:rFonts w:eastAsia="仿宋_GB2312"/>
          <w:color w:val="000000"/>
          <w:kern w:val="0"/>
          <w:sz w:val="28"/>
          <w:szCs w:val="21"/>
          <w:lang w:val="zh-CN"/>
        </w:rPr>
      </w:pPr>
      <w:r>
        <w:rPr>
          <w:rFonts w:eastAsia="仿宋_GB2312"/>
          <w:color w:val="000000"/>
          <w:kern w:val="0"/>
          <w:sz w:val="28"/>
          <w:szCs w:val="21"/>
          <w:lang w:val="zh-CN"/>
        </w:rPr>
        <w:t>3、来自校内外的突发性侵害。指来自校外的车辆、校内及外来人员或其它侵害主体在本保险单列明的承保区域范围内实施的突发性、不可预见的伤害事件；</w:t>
      </w:r>
    </w:p>
    <w:p>
      <w:pPr>
        <w:autoSpaceDE w:val="0"/>
        <w:autoSpaceDN w:val="0"/>
        <w:adjustRightInd w:val="0"/>
        <w:spacing w:line="300" w:lineRule="exact"/>
        <w:ind w:firstLine="588"/>
        <w:rPr>
          <w:rFonts w:eastAsia="仿宋_GB2312"/>
          <w:color w:val="000000"/>
          <w:kern w:val="0"/>
          <w:sz w:val="28"/>
          <w:szCs w:val="21"/>
          <w:lang w:val="zh-CN"/>
        </w:rPr>
      </w:pPr>
      <w:r>
        <w:rPr>
          <w:rFonts w:eastAsia="仿宋_GB2312"/>
          <w:color w:val="000000"/>
          <w:kern w:val="0"/>
          <w:sz w:val="28"/>
          <w:szCs w:val="21"/>
          <w:lang w:val="zh-CN"/>
        </w:rPr>
        <w:t>4、学生自身原因。学生由于疏忽大意或过失行为造成自身的人身损害后果。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06DAE"/>
    <w:rsid w:val="073659BC"/>
    <w:rsid w:val="4F90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2021-05-14T07:01:00Z</dcterms:created>
  <dc:creator>Administrator</dc:creator>
  <cp:lastModifiedBy>Administrator</cp:lastModifiedBy>
  <dcterms:modified xsi:type="dcterms:W3CDTF">2021-05-14T07:02:15Z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